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BD" w:rsidRDefault="00FA6EBD" w:rsidP="00FA6EBD">
      <w:pPr>
        <w:pStyle w:val="a5"/>
      </w:pPr>
      <w:bookmarkStart w:id="0" w:name="sub_2"/>
      <w:r>
        <w:t xml:space="preserve">Основания и сроки проведения </w:t>
      </w:r>
      <w:proofErr w:type="gramStart"/>
      <w:r>
        <w:t>внеплановой</w:t>
      </w:r>
      <w:proofErr w:type="gramEnd"/>
      <w:r>
        <w:t xml:space="preserve"> СОУТ</w:t>
      </w:r>
    </w:p>
    <w:bookmarkEnd w:id="0"/>
    <w:p w:rsidR="00FA6EBD" w:rsidRPr="00376DD8" w:rsidRDefault="00FA6EBD" w:rsidP="00376DD8">
      <w:pPr>
        <w:jc w:val="both"/>
        <w:rPr>
          <w:rFonts w:ascii="Times New Roman" w:hAnsi="Times New Roman" w:cs="Times New Roman"/>
          <w:sz w:val="24"/>
          <w:szCs w:val="24"/>
        </w:rPr>
      </w:pPr>
      <w:r w:rsidRPr="00376DD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proofErr w:type="gramStart"/>
        <w:r w:rsidRPr="00376DD8">
          <w:rPr>
            <w:rStyle w:val="a4"/>
            <w:rFonts w:ascii="Times New Roman" w:hAnsi="Times New Roman"/>
            <w:sz w:val="24"/>
            <w:szCs w:val="24"/>
          </w:rPr>
          <w:t>ч</w:t>
        </w:r>
        <w:proofErr w:type="gramEnd"/>
        <w:r w:rsidRPr="00376DD8">
          <w:rPr>
            <w:rStyle w:val="a4"/>
            <w:rFonts w:ascii="Times New Roman" w:hAnsi="Times New Roman"/>
            <w:sz w:val="24"/>
            <w:szCs w:val="24"/>
          </w:rPr>
          <w:t>. 1 ст. 17</w:t>
        </w:r>
      </w:hyperlink>
      <w:r w:rsidRPr="00376DD8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 426-ФЗ "О специальной оценке условий труда" (далее - Закон N 426-ФЗ) внеплановая специальная оценка условий труда должна проводиться в следующих случаях.</w:t>
      </w:r>
    </w:p>
    <w:p w:rsidR="00FA6EBD" w:rsidRDefault="00FA6EBD" w:rsidP="00FA6EB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7"/>
        <w:gridCol w:w="6497"/>
        <w:gridCol w:w="3117"/>
      </w:tblGrid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6"/>
              <w:jc w:val="center"/>
            </w:pPr>
            <w:r>
              <w:t xml:space="preserve">Основание проведения </w:t>
            </w:r>
            <w:proofErr w:type="gramStart"/>
            <w:r>
              <w:t>внеплановой</w:t>
            </w:r>
            <w:proofErr w:type="gramEnd"/>
            <w:r>
              <w:t xml:space="preserve"> СОУТ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6EBD" w:rsidRDefault="00FA6EBD" w:rsidP="00CF6583">
            <w:pPr>
              <w:pStyle w:val="a6"/>
              <w:jc w:val="center"/>
            </w:pPr>
            <w:r>
              <w:t>Срок, в течение которого должна быть проведена СОУТ</w:t>
            </w: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>1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r>
              <w:t>ввод в эксплуатацию вновь организованных рабочих мест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6EBD" w:rsidRDefault="00FA6EBD" w:rsidP="00CF6583">
            <w:pPr>
              <w:pStyle w:val="a6"/>
              <w:jc w:val="center"/>
            </w:pPr>
            <w:r>
              <w:t xml:space="preserve">в течение </w:t>
            </w:r>
            <w:r>
              <w:rPr>
                <w:rStyle w:val="a3"/>
                <w:bCs/>
              </w:rPr>
              <w:t>12 месяцев</w:t>
            </w:r>
            <w:r>
              <w:t xml:space="preserve"> со дня наступления соответствующих случаев</w:t>
            </w: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>2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proofErr w:type="gramStart"/>
            <w:r>
              <w:t xml:space="preserve">получение работодателем предписания государственного инспектора труда о проведении внеплановой СОУТ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нарушениями требований </w:t>
            </w:r>
            <w:hyperlink r:id="rId5" w:history="1">
              <w:r>
                <w:rPr>
                  <w:rStyle w:val="a4"/>
                </w:rPr>
                <w:t>Закона</w:t>
              </w:r>
            </w:hyperlink>
            <w:r>
              <w:t xml:space="preserve"> N 426-ФЗ или государственных нормативных требований охраны труда, содержащихся в федеральных законах и иных нормативных правовых актах РФ</w:t>
            </w:r>
            <w:proofErr w:type="gram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 xml:space="preserve">в течение </w:t>
            </w:r>
            <w:r>
              <w:rPr>
                <w:rStyle w:val="a3"/>
                <w:bCs/>
              </w:rPr>
              <w:t>6 месяцев</w:t>
            </w:r>
            <w:r>
              <w:t xml:space="preserve"> со дня наступления соответствующих случаев</w:t>
            </w: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bookmarkStart w:id="1" w:name="sub_4"/>
            <w:r>
              <w:t>3</w:t>
            </w:r>
            <w:bookmarkEnd w:id="1"/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r>
              <w:t>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 xml:space="preserve">в течение </w:t>
            </w:r>
            <w:r>
              <w:rPr>
                <w:rStyle w:val="a3"/>
                <w:bCs/>
              </w:rPr>
              <w:t>12 месяцев</w:t>
            </w:r>
            <w:r>
              <w:t xml:space="preserve"> со дня наступления соответствующих случаев</w:t>
            </w: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>4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r>
              <w:t>изменение состава применяемых материалов и (или) сырья, способных оказать влияние на уровень воздействия вредных и (или) опасных производственных факторов на работников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BD" w:rsidRDefault="00FA6EBD" w:rsidP="00CF6583">
            <w:pPr>
              <w:pStyle w:val="a6"/>
            </w:pPr>
          </w:p>
          <w:p w:rsidR="00FA6EBD" w:rsidRDefault="00FA6EBD" w:rsidP="00CF6583">
            <w:pPr>
              <w:pStyle w:val="a6"/>
            </w:pPr>
          </w:p>
          <w:p w:rsidR="00FA6EBD" w:rsidRDefault="00FA6EBD" w:rsidP="00CF6583">
            <w:pPr>
              <w:pStyle w:val="a6"/>
            </w:pPr>
          </w:p>
          <w:p w:rsidR="00FA6EBD" w:rsidRDefault="00FA6EBD" w:rsidP="00CF6583">
            <w:pPr>
              <w:pStyle w:val="a6"/>
            </w:pPr>
          </w:p>
          <w:p w:rsidR="00FA6EBD" w:rsidRDefault="00FA6EBD" w:rsidP="00CF6583">
            <w:pPr>
              <w:pStyle w:val="a6"/>
            </w:pPr>
          </w:p>
          <w:p w:rsidR="00FA6EBD" w:rsidRDefault="00FA6EBD" w:rsidP="00CF6583">
            <w:pPr>
              <w:pStyle w:val="a6"/>
            </w:pPr>
          </w:p>
          <w:p w:rsidR="00FA6EBD" w:rsidRDefault="00FA6EBD" w:rsidP="00CF6583">
            <w:pPr>
              <w:pStyle w:val="a6"/>
              <w:jc w:val="center"/>
            </w:pPr>
            <w:r>
              <w:t xml:space="preserve">в течение </w:t>
            </w:r>
            <w:r>
              <w:rPr>
                <w:rStyle w:val="a3"/>
                <w:bCs/>
              </w:rPr>
              <w:t>6 месяцев</w:t>
            </w:r>
            <w:r>
              <w:t xml:space="preserve"> со дня наступления соответствующих случаев</w:t>
            </w: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>5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r>
              <w:t>изменение применяемых средств индивидуальной и коллективной защиты, способное оказать влияние на уровень воздействия вредных и (или) опасных производственных факторов на работников</w:t>
            </w: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BD" w:rsidRDefault="00FA6EBD" w:rsidP="00CF6583">
            <w:pPr>
              <w:pStyle w:val="a6"/>
            </w:pP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r>
              <w:t>6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r>
              <w:t>произошедший на рабочем месте несчастный случай на производстве (за исключением 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(или) опасных производственных факторов</w:t>
            </w: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BD" w:rsidRDefault="00FA6EBD" w:rsidP="00CF6583">
            <w:pPr>
              <w:pStyle w:val="a6"/>
            </w:pPr>
          </w:p>
        </w:tc>
      </w:tr>
      <w:tr w:rsidR="00FA6EBD" w:rsidTr="00CF6583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6EBD" w:rsidRDefault="00FA6EBD" w:rsidP="00CF6583">
            <w:pPr>
              <w:pStyle w:val="a6"/>
              <w:jc w:val="center"/>
            </w:pPr>
            <w:bookmarkStart w:id="2" w:name="sub_5"/>
            <w:r>
              <w:t>7</w:t>
            </w:r>
            <w:bookmarkEnd w:id="2"/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EBD" w:rsidRDefault="00FA6EBD" w:rsidP="00CF6583">
            <w:pPr>
              <w:pStyle w:val="a7"/>
            </w:pPr>
            <w:proofErr w:type="gramStart"/>
            <w:r>
              <w:t xml:space="preserve">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СОУТ, в том числе подготовленных по замечаниям и возражениям работника относительно результатов СОУТ, проведенной на его рабочем месте, представленных в соответствии с </w:t>
            </w:r>
            <w:hyperlink r:id="rId6" w:history="1">
              <w:r>
                <w:rPr>
                  <w:rStyle w:val="a4"/>
                </w:rPr>
                <w:t>п. 4 ч. 1 ст. 5</w:t>
              </w:r>
            </w:hyperlink>
            <w:r>
              <w:t xml:space="preserve"> Закона N 426-ФЗ в письменном виде в выборный орган первичной профсоюзной организации или иной представительный орган</w:t>
            </w:r>
            <w:proofErr w:type="gramEnd"/>
            <w:r>
              <w:t xml:space="preserve"> работников</w:t>
            </w: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EBD" w:rsidRDefault="00FA6EBD" w:rsidP="00CF6583">
            <w:pPr>
              <w:pStyle w:val="a6"/>
            </w:pPr>
          </w:p>
        </w:tc>
      </w:tr>
    </w:tbl>
    <w:p w:rsidR="00FA6EBD" w:rsidRDefault="00FA6EBD" w:rsidP="00FA6EBD">
      <w:pPr>
        <w:rPr>
          <w:rFonts w:ascii="Arial" w:hAnsi="Arial" w:cs="Arial"/>
        </w:rPr>
      </w:pPr>
    </w:p>
    <w:tbl>
      <w:tblPr>
        <w:tblW w:w="5000" w:type="pct"/>
        <w:tblInd w:w="108" w:type="dxa"/>
        <w:tblLook w:val="0000"/>
      </w:tblPr>
      <w:tblGrid>
        <w:gridCol w:w="417"/>
        <w:gridCol w:w="9302"/>
        <w:gridCol w:w="418"/>
      </w:tblGrid>
      <w:tr w:rsidR="00FA6EBD" w:rsidTr="00613D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FA6EBD" w:rsidRDefault="00FA6EBD" w:rsidP="00CF6583">
            <w:pPr>
              <w:pStyle w:val="a6"/>
            </w:pPr>
            <w:bookmarkStart w:id="3" w:name="sub_21"/>
            <w:bookmarkEnd w:id="3"/>
          </w:p>
        </w:tc>
      </w:tr>
      <w:tr w:rsidR="00FA6EBD" w:rsidTr="00613D85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3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Default="00FA6EBD" w:rsidP="00CF6583">
            <w:pPr>
              <w:rPr>
                <w:rFonts w:ascii="Arial" w:hAnsi="Arial" w:cs="Arial"/>
              </w:rPr>
            </w:pPr>
          </w:p>
        </w:tc>
      </w:tr>
      <w:tr w:rsidR="00FA6EBD" w:rsidRPr="009C7DE3" w:rsidTr="00613D85">
        <w:tblPrEx>
          <w:tblCellMar>
            <w:top w:w="0" w:type="dxa"/>
            <w:bottom w:w="0" w:type="dxa"/>
          </w:tblCellMar>
        </w:tblPrEx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8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</w:t>
            </w:r>
            <w:hyperlink r:id="rId7" w:history="1">
              <w:r w:rsidRPr="009C7DE3">
                <w:rPr>
                  <w:rStyle w:val="a4"/>
                  <w:rFonts w:ascii="Times New Roman" w:hAnsi="Times New Roman"/>
                  <w:sz w:val="24"/>
                  <w:szCs w:val="24"/>
                </w:rPr>
                <w:t>ст. 214.1 ТК</w:t>
              </w:r>
            </w:hyperlink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РФ работодатель обязан приостановить работы на рабочих местах в случаях, если условия труда на таких рабочих местах по результатам СОУТ отнесены к опасному классу (за </w:t>
            </w:r>
            <w:hyperlink r:id="rId8" w:history="1">
              <w:r w:rsidRPr="009C7DE3">
                <w:rPr>
                  <w:rStyle w:val="a4"/>
                  <w:rFonts w:ascii="Times New Roman" w:hAnsi="Times New Roman"/>
                  <w:sz w:val="24"/>
                  <w:szCs w:val="24"/>
                </w:rPr>
                <w:t>исключением</w:t>
              </w:r>
            </w:hyperlink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работ, связанных с предотвращением или устранением последствий ЧС и </w:t>
            </w:r>
            <w:hyperlink r:id="rId9" w:history="1">
              <w:r w:rsidRPr="009C7DE3">
                <w:rPr>
                  <w:rStyle w:val="a4"/>
                  <w:rFonts w:ascii="Times New Roman" w:hAnsi="Times New Roman"/>
                  <w:sz w:val="24"/>
                  <w:szCs w:val="24"/>
                </w:rPr>
                <w:t>отдельных</w:t>
              </w:r>
            </w:hyperlink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видов работ). При этом возобновление деятельности работодателя на указанных рабочих местах допускается только по результатам внеплановой СОУТ, подтверждающей снижение класса условий труда после </w:t>
            </w:r>
            <w:proofErr w:type="spellStart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>утранения</w:t>
            </w:r>
            <w:proofErr w:type="spellEnd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оснований, послуживших установлению этого опасного класса на основе выполнения специального плана мероприятий, разработанных работодателем. Однако в Законе N 426-ФЗ такое основание для </w:t>
            </w:r>
            <w:proofErr w:type="gramStart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>внеплановой</w:t>
            </w:r>
            <w:proofErr w:type="gramEnd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СОУТ не упомянуто.</w:t>
            </w:r>
          </w:p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Напомним, что изменения в нормы </w:t>
            </w:r>
            <w:proofErr w:type="gramStart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в части СОУТ были внесены в ТК РФ в марте 2022 г. в связи с масштабными изменениями в </w:t>
            </w:r>
            <w:hyperlink r:id="rId10" w:history="1">
              <w:r w:rsidRPr="009C7DE3">
                <w:rPr>
                  <w:rStyle w:val="a4"/>
                  <w:rFonts w:ascii="Times New Roman" w:hAnsi="Times New Roman"/>
                  <w:sz w:val="24"/>
                  <w:szCs w:val="24"/>
                </w:rPr>
                <w:t>раздел X</w:t>
              </w:r>
            </w:hyperlink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кодекса РФ, регулирующий охрану труда.</w:t>
            </w:r>
          </w:p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BD" w:rsidRPr="009C7DE3" w:rsidTr="00613D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FA6EBD" w:rsidRPr="009C7DE3" w:rsidRDefault="00FA6EBD" w:rsidP="009C7DE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 xml:space="preserve">Под вводом в эксплуатацию вновь организованных рабочих мест следует понимать дату начала на этих рабочих местах штатного производственного процесса, который ранее работодателем не осуществлялся (письма Минтруда России </w:t>
      </w:r>
      <w:hyperlink r:id="rId11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от 02.11.2016 N 15-1/ООГ-3847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от 16.04.2015 N 15-1/ООГ-2242</w:t>
        </w:r>
      </w:hyperlink>
      <w:r w:rsidRPr="009C7DE3">
        <w:rPr>
          <w:rFonts w:ascii="Times New Roman" w:hAnsi="Times New Roman" w:cs="Times New Roman"/>
          <w:sz w:val="24"/>
          <w:szCs w:val="24"/>
        </w:rPr>
        <w:t>).</w:t>
      </w:r>
    </w:p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>В случае перемещения рабочего места из одного помещения в другое работодатель заново его организует и вводит в эксплуатацию в новом помещении, то есть вводит в эксплуатацию новое рабочее место (</w:t>
      </w:r>
      <w:hyperlink r:id="rId13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письмо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Минтруда России от 23.01.2017 N 15-1/ООГ-169).</w:t>
      </w:r>
    </w:p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 xml:space="preserve">В случае изменения имени, фамилии или отчества (при наличии) работодателя - индивидуального предпринимателя, реорганизации работодателя - юридического лица или изменения наименования рабочего места, не повлекших за собой наступления оснований для проведения внеплановой СОУТ, указанных в </w:t>
      </w:r>
      <w:hyperlink w:anchor="sub_4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пунктах 3 - 5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5" w:history="1">
        <w:r w:rsidRPr="009C7DE3">
          <w:rPr>
            <w:rStyle w:val="a4"/>
            <w:rFonts w:ascii="Times New Roman" w:hAnsi="Times New Roman"/>
            <w:sz w:val="24"/>
            <w:szCs w:val="24"/>
          </w:rPr>
          <w:t>7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таблицы, внеплановая специальная оценка условий труда </w:t>
      </w:r>
      <w:r w:rsidRPr="009C7DE3">
        <w:rPr>
          <w:rStyle w:val="a3"/>
          <w:rFonts w:ascii="Times New Roman" w:hAnsi="Times New Roman" w:cs="Times New Roman"/>
          <w:bCs/>
          <w:sz w:val="24"/>
          <w:szCs w:val="24"/>
        </w:rPr>
        <w:t>может не проводиться</w:t>
      </w:r>
      <w:r w:rsidRPr="009C7DE3">
        <w:rPr>
          <w:rFonts w:ascii="Times New Roman" w:hAnsi="Times New Roman" w:cs="Times New Roman"/>
          <w:sz w:val="24"/>
          <w:szCs w:val="24"/>
        </w:rPr>
        <w:t xml:space="preserve">. Решение о </w:t>
      </w:r>
      <w:proofErr w:type="spellStart"/>
      <w:r w:rsidRPr="009C7DE3">
        <w:rPr>
          <w:rFonts w:ascii="Times New Roman" w:hAnsi="Times New Roman" w:cs="Times New Roman"/>
          <w:sz w:val="24"/>
          <w:szCs w:val="24"/>
        </w:rPr>
        <w:t>непроведении</w:t>
      </w:r>
      <w:proofErr w:type="spellEnd"/>
      <w:r w:rsidRPr="009C7DE3">
        <w:rPr>
          <w:rFonts w:ascii="Times New Roman" w:hAnsi="Times New Roman" w:cs="Times New Roman"/>
          <w:sz w:val="24"/>
          <w:szCs w:val="24"/>
        </w:rPr>
        <w:t xml:space="preserve"> внеплановой специальной оценки условий труда должно приниматься комиссией (</w:t>
      </w:r>
      <w:hyperlink r:id="rId14" w:history="1">
        <w:proofErr w:type="gramStart"/>
        <w:r w:rsidRPr="009C7DE3">
          <w:rPr>
            <w:rStyle w:val="a4"/>
            <w:rFonts w:ascii="Times New Roman" w:hAnsi="Times New Roman"/>
            <w:sz w:val="24"/>
            <w:szCs w:val="24"/>
          </w:rPr>
          <w:t>ч</w:t>
        </w:r>
        <w:proofErr w:type="gramEnd"/>
        <w:r w:rsidRPr="009C7DE3">
          <w:rPr>
            <w:rStyle w:val="a4"/>
            <w:rFonts w:ascii="Times New Roman" w:hAnsi="Times New Roman"/>
            <w:sz w:val="24"/>
            <w:szCs w:val="24"/>
          </w:rPr>
          <w:t>. 3 ст. 17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 xml:space="preserve">Если условия труда на рабочих местах не изменились, а изменились только наименование работодателя и его реквизиты при сохранении наименований профессий (должностей) работников и </w:t>
      </w:r>
      <w:proofErr w:type="gramStart"/>
      <w:r w:rsidRPr="009C7DE3">
        <w:rPr>
          <w:rFonts w:ascii="Times New Roman" w:hAnsi="Times New Roman" w:cs="Times New Roman"/>
          <w:sz w:val="24"/>
          <w:szCs w:val="24"/>
        </w:rPr>
        <w:t>состава</w:t>
      </w:r>
      <w:proofErr w:type="gramEnd"/>
      <w:r w:rsidRPr="009C7DE3">
        <w:rPr>
          <w:rFonts w:ascii="Times New Roman" w:hAnsi="Times New Roman" w:cs="Times New Roman"/>
          <w:sz w:val="24"/>
          <w:szCs w:val="24"/>
        </w:rPr>
        <w:t xml:space="preserve"> выполняемых ими должностных обязанностей, то проводить внеплановую СОУТ нет необходимости (</w:t>
      </w:r>
      <w:hyperlink r:id="rId15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письмо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Минтруда России от 21.05.2015 N 15-1/ООГ-2852).</w:t>
      </w:r>
    </w:p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 xml:space="preserve">Минтруд России также в </w:t>
      </w:r>
      <w:hyperlink r:id="rId16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письме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от 10.02.2020 N 15-4/ООГ-347 напомнил о требованиях к нумерации рабочих мест в рамках проведения СОУТ, в том числе внеплановой. Как отмечают представители министерства, согласно п. 4 ранее действовавшей Инструкции по заполнению </w:t>
      </w:r>
      <w:r w:rsidRPr="009C7DE3">
        <w:rPr>
          <w:rFonts w:ascii="Times New Roman" w:hAnsi="Times New Roman" w:cs="Times New Roman"/>
          <w:sz w:val="24"/>
          <w:szCs w:val="24"/>
        </w:rPr>
        <w:lastRenderedPageBreak/>
        <w:t xml:space="preserve">формы отчета о проведении СОУТ индивидуальный номер рабочего места должен состоять не более чем из 8 знаков (от 1 до 99 999 999). Аналогичные рабочие места обозначаются номером с добавлением прописной буквы "А". </w:t>
      </w:r>
      <w:proofErr w:type="gramStart"/>
      <w:r w:rsidRPr="009C7DE3">
        <w:rPr>
          <w:rFonts w:ascii="Times New Roman" w:hAnsi="Times New Roman" w:cs="Times New Roman"/>
          <w:sz w:val="24"/>
          <w:szCs w:val="24"/>
        </w:rPr>
        <w:t xml:space="preserve">При этом согласно </w:t>
      </w:r>
      <w:hyperlink r:id="rId17" w:history="1">
        <w:r w:rsidRPr="009C7DE3">
          <w:rPr>
            <w:rStyle w:val="a4"/>
            <w:rFonts w:ascii="Times New Roman" w:hAnsi="Times New Roman"/>
            <w:sz w:val="24"/>
            <w:szCs w:val="24"/>
          </w:rPr>
          <w:t xml:space="preserve">п. 2 ч. 2 ст. 18 </w:t>
        </w:r>
      </w:hyperlink>
      <w:r w:rsidRPr="009C7DE3">
        <w:rPr>
          <w:rFonts w:ascii="Times New Roman" w:hAnsi="Times New Roman" w:cs="Times New Roman"/>
          <w:sz w:val="24"/>
          <w:szCs w:val="24"/>
        </w:rPr>
        <w:t>Закона N 426-ФЗ в Федеральной государственной информационной системе учета результатов проведения СОУТ объектом учета в отношении рабочего места, в том числе, является индивидуальный номер рабочего места, который при внеплановой и (или) повторной специальной оценке условий труда должен полностью совпадать с первоначально указанным для данного рабочего места.</w:t>
      </w:r>
      <w:proofErr w:type="gramEnd"/>
    </w:p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 xml:space="preserve">Отметим, что указанные требования сохранились и в </w:t>
      </w:r>
      <w:hyperlink r:id="rId18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п. 4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действующей </w:t>
      </w:r>
      <w:hyperlink r:id="rId19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Инструкции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по заполнению формы отчета о проведении СОУТ.</w:t>
      </w:r>
    </w:p>
    <w:tbl>
      <w:tblPr>
        <w:tblW w:w="5000" w:type="pct"/>
        <w:tblInd w:w="108" w:type="dxa"/>
        <w:tblLook w:val="0000"/>
      </w:tblPr>
      <w:tblGrid>
        <w:gridCol w:w="417"/>
        <w:gridCol w:w="9302"/>
        <w:gridCol w:w="418"/>
      </w:tblGrid>
      <w:tr w:rsidR="00FA6EBD" w:rsidRPr="009C7DE3" w:rsidTr="00613D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FA6EBD" w:rsidRPr="009C7DE3" w:rsidRDefault="00FA6EBD" w:rsidP="009C7DE3">
            <w:pPr>
              <w:pStyle w:val="a6"/>
              <w:rPr>
                <w:rFonts w:ascii="Times New Roman" w:hAnsi="Times New Roman" w:cs="Times New Roman"/>
              </w:rPr>
            </w:pPr>
            <w:bookmarkStart w:id="4" w:name="sub_3"/>
            <w:bookmarkEnd w:id="4"/>
          </w:p>
        </w:tc>
      </w:tr>
      <w:tr w:rsidR="00FA6EBD" w:rsidRPr="009C7DE3" w:rsidTr="00613D85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3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BD" w:rsidRPr="009C7DE3" w:rsidTr="00613D85">
        <w:tblPrEx>
          <w:tblCellMar>
            <w:top w:w="0" w:type="dxa"/>
            <w:bottom w:w="0" w:type="dxa"/>
          </w:tblCellMar>
        </w:tblPrEx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8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>В случае проведения внеплановой СОУТ по предписанию государственного инспектора труда на период до утверждения отчета о ее проведении не допускается ухудшение положения работников, занятых на рабочих местах, в отношении которых проводится внеплановая СОУТ, в части предоставляемых им гарантий и компенсаций за работу с вредными и (или) опасными условиями труда по сравнению с их положением до проведения СОУТ, результаты которой получены</w:t>
            </w:r>
            <w:proofErr w:type="gramEnd"/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нарушениями закона (</w:t>
            </w:r>
            <w:hyperlink r:id="rId20" w:history="1">
              <w:proofErr w:type="gramStart"/>
              <w:r w:rsidRPr="009C7DE3">
                <w:rPr>
                  <w:rStyle w:val="a4"/>
                  <w:rFonts w:ascii="Times New Roman" w:hAnsi="Times New Roman"/>
                  <w:sz w:val="24"/>
                  <w:szCs w:val="24"/>
                </w:rPr>
                <w:t>ч</w:t>
              </w:r>
              <w:proofErr w:type="gramEnd"/>
              <w:r w:rsidRPr="009C7DE3">
                <w:rPr>
                  <w:rStyle w:val="a4"/>
                  <w:rFonts w:ascii="Times New Roman" w:hAnsi="Times New Roman"/>
                  <w:sz w:val="24"/>
                  <w:szCs w:val="24"/>
                </w:rPr>
                <w:t>. 4 ст. 17</w:t>
              </w:r>
            </w:hyperlink>
            <w:r w:rsidRPr="009C7DE3">
              <w:rPr>
                <w:rFonts w:ascii="Times New Roman" w:hAnsi="Times New Roman" w:cs="Times New Roman"/>
                <w:sz w:val="24"/>
                <w:szCs w:val="24"/>
              </w:rPr>
              <w:t xml:space="preserve"> Закона N 426-ФЗ).</w:t>
            </w:r>
          </w:p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single" w:sz="4" w:space="0" w:color="FAF3E9"/>
              <w:left w:val="single" w:sz="4" w:space="0" w:color="FAF3E9"/>
              <w:bottom w:val="single" w:sz="4" w:space="0" w:color="FAF3E9"/>
              <w:right w:val="single" w:sz="4" w:space="0" w:color="FAF3E9"/>
            </w:tcBorders>
            <w:shd w:val="clear" w:color="auto" w:fill="auto"/>
          </w:tcPr>
          <w:p w:rsidR="00FA6EBD" w:rsidRPr="009C7DE3" w:rsidRDefault="00FA6EBD" w:rsidP="009C7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BD" w:rsidRPr="009C7DE3" w:rsidTr="00613D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FA6EBD" w:rsidRPr="009C7DE3" w:rsidRDefault="00FA6EBD" w:rsidP="009C7DE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FA6EBD" w:rsidRPr="009C7DE3" w:rsidRDefault="00FA6EBD" w:rsidP="009C7DE3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3">
        <w:rPr>
          <w:rFonts w:ascii="Times New Roman" w:hAnsi="Times New Roman" w:cs="Times New Roman"/>
          <w:sz w:val="24"/>
          <w:szCs w:val="24"/>
        </w:rPr>
        <w:t xml:space="preserve">Обращаем также внимание на разъяснения Минтруда в связи с возвращением многих работников на рабочие места после снятия ограничительных мер, установленных органами власти из-за пандемии COVID-19. Министерство в </w:t>
      </w:r>
      <w:hyperlink r:id="rId21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письме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от 15.10.2020 N 15-2/ООГ-3040 напомнило, что иных оснований к проведению внеплановой СОУТ, кроме случаев, установленных </w:t>
      </w:r>
      <w:hyperlink r:id="rId22" w:history="1">
        <w:r w:rsidRPr="009C7DE3">
          <w:rPr>
            <w:rStyle w:val="a4"/>
            <w:rFonts w:ascii="Times New Roman" w:hAnsi="Times New Roman"/>
            <w:sz w:val="24"/>
            <w:szCs w:val="24"/>
          </w:rPr>
          <w:t>ч. 1 ст. 17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Закона N 426-ФЗ, на рабочих местах (в том числе после удаленной работы) </w:t>
      </w:r>
      <w:hyperlink r:id="rId23" w:history="1">
        <w:r w:rsidRPr="009C7DE3">
          <w:rPr>
            <w:rStyle w:val="a4"/>
            <w:rFonts w:ascii="Times New Roman" w:hAnsi="Times New Roman"/>
            <w:sz w:val="24"/>
            <w:szCs w:val="24"/>
          </w:rPr>
          <w:t>Законом</w:t>
        </w:r>
      </w:hyperlink>
      <w:r w:rsidRPr="009C7DE3">
        <w:rPr>
          <w:rFonts w:ascii="Times New Roman" w:hAnsi="Times New Roman" w:cs="Times New Roman"/>
          <w:sz w:val="24"/>
          <w:szCs w:val="24"/>
        </w:rPr>
        <w:t xml:space="preserve"> N 426-ФЗ не предусмотрено, т.е. проводить </w:t>
      </w:r>
      <w:proofErr w:type="gramStart"/>
      <w:r w:rsidRPr="009C7DE3">
        <w:rPr>
          <w:rFonts w:ascii="Times New Roman" w:hAnsi="Times New Roman" w:cs="Times New Roman"/>
          <w:sz w:val="24"/>
          <w:szCs w:val="24"/>
        </w:rPr>
        <w:t>внеплановую</w:t>
      </w:r>
      <w:proofErr w:type="gramEnd"/>
      <w:r w:rsidRPr="009C7DE3">
        <w:rPr>
          <w:rFonts w:ascii="Times New Roman" w:hAnsi="Times New Roman" w:cs="Times New Roman"/>
          <w:sz w:val="24"/>
          <w:szCs w:val="24"/>
        </w:rPr>
        <w:t xml:space="preserve"> СОУТ в этих случаях необходимости нет.</w:t>
      </w:r>
    </w:p>
    <w:p w:rsidR="00766676" w:rsidRPr="009C7DE3" w:rsidRDefault="00766676" w:rsidP="009C7DE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6676" w:rsidRPr="009C7DE3" w:rsidSect="00FA6EB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6EBD"/>
    <w:rsid w:val="00376DD8"/>
    <w:rsid w:val="00613D85"/>
    <w:rsid w:val="00766676"/>
    <w:rsid w:val="00952227"/>
    <w:rsid w:val="009C7DE3"/>
    <w:rsid w:val="00FA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A6EB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A6EBD"/>
    <w:rPr>
      <w:rFonts w:cs="Times New Roman"/>
      <w:color w:val="106BBE"/>
    </w:rPr>
  </w:style>
  <w:style w:type="paragraph" w:customStyle="1" w:styleId="a5">
    <w:name w:val="Заголовок ЭР (левое окно)"/>
    <w:basedOn w:val="a"/>
    <w:next w:val="a"/>
    <w:uiPriority w:val="99"/>
    <w:rsid w:val="00FA6EBD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 CYR" w:hAnsi="Times New Roman CYR" w:cs="Times New Roman CYR"/>
      <w:b/>
      <w:bCs/>
      <w:color w:val="26282F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FA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A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E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5268/2141007" TargetMode="External"/><Relationship Id="rId13" Type="http://schemas.openxmlformats.org/officeDocument/2006/relationships/hyperlink" Target="https://internet.garant.ru/document/redirect/71649020/0" TargetMode="External"/><Relationship Id="rId18" Type="http://schemas.openxmlformats.org/officeDocument/2006/relationships/hyperlink" Target="https://internet.garant.ru/document/redirect/408103613/4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400215455/0" TargetMode="External"/><Relationship Id="rId7" Type="http://schemas.openxmlformats.org/officeDocument/2006/relationships/hyperlink" Target="https://internet.garant.ru/document/redirect/12125268/2141001" TargetMode="External"/><Relationship Id="rId12" Type="http://schemas.openxmlformats.org/officeDocument/2006/relationships/hyperlink" Target="https://internet.garant.ru/document/redirect/71013298/0" TargetMode="External"/><Relationship Id="rId17" Type="http://schemas.openxmlformats.org/officeDocument/2006/relationships/hyperlink" Target="https://internet.garant.ru/document/redirect/70552676/1822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4409430/0" TargetMode="External"/><Relationship Id="rId20" Type="http://schemas.openxmlformats.org/officeDocument/2006/relationships/hyperlink" Target="https://internet.garant.ru/document/redirect/70552676/174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0552676/514" TargetMode="External"/><Relationship Id="rId11" Type="http://schemas.openxmlformats.org/officeDocument/2006/relationships/hyperlink" Target="https://internet.garant.ru/document/redirect/71629522/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internet.garant.ru/document/redirect/70552676/0" TargetMode="External"/><Relationship Id="rId15" Type="http://schemas.openxmlformats.org/officeDocument/2006/relationships/hyperlink" Target="https://internet.garant.ru/document/redirect/71367872/0" TargetMode="External"/><Relationship Id="rId23" Type="http://schemas.openxmlformats.org/officeDocument/2006/relationships/hyperlink" Target="https://internet.garant.ru/document/redirect/70552676/0" TargetMode="External"/><Relationship Id="rId10" Type="http://schemas.openxmlformats.org/officeDocument/2006/relationships/hyperlink" Target="https://internet.garant.ru/document/redirect/12125268/10000" TargetMode="External"/><Relationship Id="rId19" Type="http://schemas.openxmlformats.org/officeDocument/2006/relationships/hyperlink" Target="https://internet.garant.ru/document/redirect/408103613/4000" TargetMode="External"/><Relationship Id="rId4" Type="http://schemas.openxmlformats.org/officeDocument/2006/relationships/hyperlink" Target="https://internet.garant.ru/document/redirect/70552676/171" TargetMode="External"/><Relationship Id="rId9" Type="http://schemas.openxmlformats.org/officeDocument/2006/relationships/hyperlink" Target="https://internet.garant.ru/document/redirect/403177619/1000" TargetMode="External"/><Relationship Id="rId14" Type="http://schemas.openxmlformats.org/officeDocument/2006/relationships/hyperlink" Target="https://internet.garant.ru/document/redirect/70552676/173" TargetMode="External"/><Relationship Id="rId22" Type="http://schemas.openxmlformats.org/officeDocument/2006/relationships/hyperlink" Target="https://internet.garant.ru/document/redirect/70552676/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1233</Words>
  <Characters>7033</Characters>
  <Application>Microsoft Office Word</Application>
  <DocSecurity>0</DocSecurity>
  <Lines>58</Lines>
  <Paragraphs>16</Paragraphs>
  <ScaleCrop>false</ScaleCrop>
  <Company/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7</cp:revision>
  <dcterms:created xsi:type="dcterms:W3CDTF">2025-09-26T06:45:00Z</dcterms:created>
  <dcterms:modified xsi:type="dcterms:W3CDTF">2025-09-26T06:47:00Z</dcterms:modified>
</cp:coreProperties>
</file>